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B6" w:rsidRPr="00456A04" w:rsidRDefault="009F47B6" w:rsidP="009F47B6">
      <w:pPr>
        <w:pStyle w:val="Default"/>
      </w:pPr>
    </w:p>
    <w:p w:rsidR="009F47B6" w:rsidRPr="00456A04" w:rsidRDefault="009F47B6" w:rsidP="00F262C9">
      <w:pPr>
        <w:pStyle w:val="Default"/>
        <w:spacing w:line="360" w:lineRule="auto"/>
        <w:jc w:val="center"/>
        <w:rPr>
          <w:sz w:val="32"/>
          <w:szCs w:val="32"/>
        </w:rPr>
      </w:pPr>
      <w:r w:rsidRPr="00456A04">
        <w:rPr>
          <w:b/>
          <w:bCs/>
          <w:sz w:val="32"/>
          <w:szCs w:val="32"/>
        </w:rPr>
        <w:t>Zásady</w:t>
      </w:r>
    </w:p>
    <w:p w:rsidR="009F47B6" w:rsidRPr="00456A04" w:rsidRDefault="009F47B6" w:rsidP="00F262C9">
      <w:pPr>
        <w:pStyle w:val="Default"/>
        <w:spacing w:after="240" w:line="360" w:lineRule="auto"/>
        <w:jc w:val="center"/>
        <w:rPr>
          <w:sz w:val="32"/>
          <w:szCs w:val="32"/>
        </w:rPr>
      </w:pPr>
      <w:r w:rsidRPr="00456A04">
        <w:rPr>
          <w:b/>
          <w:bCs/>
          <w:sz w:val="32"/>
          <w:szCs w:val="32"/>
        </w:rPr>
        <w:t xml:space="preserve">pro tvorbu a používání Sociálního fondu obce </w:t>
      </w:r>
      <w:r w:rsidR="00456A04" w:rsidRPr="00456A04">
        <w:rPr>
          <w:b/>
          <w:bCs/>
          <w:sz w:val="32"/>
          <w:szCs w:val="32"/>
        </w:rPr>
        <w:t>Lety</w:t>
      </w:r>
    </w:p>
    <w:p w:rsidR="009F47B6" w:rsidRPr="00456A04" w:rsidRDefault="009F47B6" w:rsidP="00F262C9">
      <w:pPr>
        <w:pStyle w:val="Default"/>
        <w:spacing w:line="360" w:lineRule="auto"/>
        <w:jc w:val="center"/>
        <w:rPr>
          <w:sz w:val="23"/>
          <w:szCs w:val="23"/>
        </w:rPr>
      </w:pPr>
      <w:r w:rsidRPr="00456A04">
        <w:rPr>
          <w:sz w:val="23"/>
          <w:szCs w:val="23"/>
        </w:rPr>
        <w:t>Čl. 1</w:t>
      </w:r>
    </w:p>
    <w:p w:rsidR="009F47B6" w:rsidRPr="00456A04" w:rsidRDefault="009F47B6" w:rsidP="00F262C9">
      <w:pPr>
        <w:pStyle w:val="Default"/>
        <w:spacing w:after="240" w:line="360" w:lineRule="auto"/>
        <w:jc w:val="center"/>
        <w:rPr>
          <w:sz w:val="28"/>
          <w:szCs w:val="28"/>
        </w:rPr>
      </w:pPr>
      <w:r w:rsidRPr="00456A04">
        <w:rPr>
          <w:b/>
          <w:bCs/>
          <w:sz w:val="28"/>
          <w:szCs w:val="28"/>
        </w:rPr>
        <w:t>Předmět a rozsah úpravy</w:t>
      </w:r>
    </w:p>
    <w:p w:rsidR="009F47B6" w:rsidRPr="00456A04" w:rsidRDefault="009F47B6" w:rsidP="00F262C9">
      <w:pPr>
        <w:pStyle w:val="Default"/>
        <w:spacing w:before="240" w:after="240" w:line="360" w:lineRule="auto"/>
        <w:rPr>
          <w:sz w:val="23"/>
          <w:szCs w:val="23"/>
        </w:rPr>
      </w:pPr>
      <w:r w:rsidRPr="00456A04">
        <w:rPr>
          <w:sz w:val="23"/>
          <w:szCs w:val="23"/>
        </w:rPr>
        <w:t xml:space="preserve">Tyto zásady upravují tvorbu Sociálního fondu obce </w:t>
      </w:r>
      <w:r w:rsidR="00456A04" w:rsidRPr="00456A04">
        <w:rPr>
          <w:sz w:val="23"/>
          <w:szCs w:val="23"/>
        </w:rPr>
        <w:t>Lety</w:t>
      </w:r>
      <w:r w:rsidRPr="00456A04">
        <w:rPr>
          <w:sz w:val="23"/>
          <w:szCs w:val="23"/>
        </w:rPr>
        <w:t xml:space="preserve">, dále jeho používání a hospodaření s ním po schválení zastupitelstvem obce. </w:t>
      </w:r>
    </w:p>
    <w:p w:rsidR="009F47B6" w:rsidRPr="00456A04" w:rsidRDefault="009F47B6" w:rsidP="00F262C9">
      <w:pPr>
        <w:pStyle w:val="Default"/>
        <w:spacing w:before="240" w:after="240" w:line="360" w:lineRule="auto"/>
        <w:jc w:val="center"/>
        <w:rPr>
          <w:sz w:val="23"/>
          <w:szCs w:val="23"/>
        </w:rPr>
      </w:pPr>
      <w:r w:rsidRPr="00456A04">
        <w:rPr>
          <w:sz w:val="23"/>
          <w:szCs w:val="23"/>
        </w:rPr>
        <w:t>Čl. 2</w:t>
      </w:r>
    </w:p>
    <w:p w:rsidR="009F47B6" w:rsidRPr="00456A04" w:rsidRDefault="009F47B6" w:rsidP="00F262C9">
      <w:pPr>
        <w:pStyle w:val="Default"/>
        <w:spacing w:before="240" w:after="240" w:line="360" w:lineRule="auto"/>
        <w:jc w:val="center"/>
        <w:rPr>
          <w:sz w:val="28"/>
          <w:szCs w:val="28"/>
        </w:rPr>
      </w:pPr>
      <w:r w:rsidRPr="00456A04">
        <w:rPr>
          <w:b/>
          <w:bCs/>
          <w:sz w:val="28"/>
          <w:szCs w:val="28"/>
        </w:rPr>
        <w:t>Účel fondu</w:t>
      </w:r>
    </w:p>
    <w:p w:rsidR="009F47B6" w:rsidRPr="00456A04" w:rsidRDefault="009F47B6" w:rsidP="00F262C9">
      <w:pPr>
        <w:pStyle w:val="Default"/>
        <w:numPr>
          <w:ilvl w:val="0"/>
          <w:numId w:val="1"/>
        </w:numPr>
        <w:spacing w:line="360" w:lineRule="auto"/>
        <w:rPr>
          <w:sz w:val="23"/>
          <w:szCs w:val="23"/>
        </w:rPr>
      </w:pPr>
      <w:r w:rsidRPr="00456A04">
        <w:rPr>
          <w:sz w:val="23"/>
          <w:szCs w:val="23"/>
        </w:rPr>
        <w:t xml:space="preserve">Fond je určen k poskytování zaměstnaneckých výhod zaměstnanců Obecního úřadu </w:t>
      </w:r>
      <w:r w:rsidR="00456A04" w:rsidRPr="00456A04">
        <w:rPr>
          <w:sz w:val="23"/>
          <w:szCs w:val="23"/>
        </w:rPr>
        <w:t>Lety</w:t>
      </w:r>
      <w:r w:rsidRPr="00456A04">
        <w:rPr>
          <w:sz w:val="23"/>
          <w:szCs w:val="23"/>
        </w:rPr>
        <w:t xml:space="preserve">. </w:t>
      </w:r>
    </w:p>
    <w:p w:rsidR="009F47B6" w:rsidRPr="00456A04" w:rsidRDefault="009F47B6" w:rsidP="00F262C9">
      <w:pPr>
        <w:pStyle w:val="Default"/>
        <w:spacing w:line="360" w:lineRule="auto"/>
        <w:rPr>
          <w:sz w:val="23"/>
          <w:szCs w:val="23"/>
        </w:rPr>
      </w:pPr>
    </w:p>
    <w:p w:rsidR="009F47B6" w:rsidRPr="00456A04" w:rsidRDefault="009F47B6" w:rsidP="00F262C9">
      <w:pPr>
        <w:pStyle w:val="Default"/>
        <w:numPr>
          <w:ilvl w:val="0"/>
          <w:numId w:val="1"/>
        </w:numPr>
        <w:spacing w:after="27" w:line="360" w:lineRule="auto"/>
        <w:rPr>
          <w:sz w:val="22"/>
          <w:szCs w:val="22"/>
        </w:rPr>
      </w:pPr>
      <w:r w:rsidRPr="00456A04">
        <w:rPr>
          <w:sz w:val="22"/>
          <w:szCs w:val="22"/>
        </w:rPr>
        <w:t xml:space="preserve">Zaměstnanecké výhody mohou čerpat; </w:t>
      </w:r>
    </w:p>
    <w:p w:rsidR="009F47B6" w:rsidRPr="00456A04" w:rsidRDefault="009F47B6" w:rsidP="00F262C9">
      <w:pPr>
        <w:pStyle w:val="Default"/>
        <w:numPr>
          <w:ilvl w:val="0"/>
          <w:numId w:val="2"/>
        </w:numPr>
        <w:spacing w:after="27" w:line="360" w:lineRule="auto"/>
        <w:rPr>
          <w:sz w:val="23"/>
          <w:szCs w:val="23"/>
        </w:rPr>
      </w:pPr>
      <w:r w:rsidRPr="00456A04">
        <w:rPr>
          <w:sz w:val="23"/>
          <w:szCs w:val="23"/>
        </w:rPr>
        <w:t xml:space="preserve">zaměstnanci, kteří jsou v pracovním poměru k obci a mají s obcí uzavřenou pracovní smlouvu na dobu neurčitou nebo určitou na dobu minimálně jednoho roku; </w:t>
      </w:r>
    </w:p>
    <w:p w:rsidR="009F47B6" w:rsidRPr="00456A04" w:rsidRDefault="00022EA1" w:rsidP="00F262C9">
      <w:pPr>
        <w:pStyle w:val="Default"/>
        <w:numPr>
          <w:ilvl w:val="0"/>
          <w:numId w:val="2"/>
        </w:numPr>
        <w:spacing w:after="27" w:line="360" w:lineRule="auto"/>
        <w:rPr>
          <w:sz w:val="23"/>
          <w:szCs w:val="23"/>
        </w:rPr>
      </w:pPr>
      <w:r>
        <w:rPr>
          <w:sz w:val="23"/>
          <w:szCs w:val="23"/>
        </w:rPr>
        <w:t xml:space="preserve">rodinní příslušníci zaměstnanců - </w:t>
      </w:r>
      <w:r w:rsidR="00B35A5E">
        <w:rPr>
          <w:sz w:val="23"/>
          <w:szCs w:val="23"/>
        </w:rPr>
        <w:t>nezaopatřené děti</w:t>
      </w:r>
      <w:r w:rsidR="009F47B6" w:rsidRPr="00456A04">
        <w:rPr>
          <w:sz w:val="23"/>
          <w:szCs w:val="23"/>
        </w:rPr>
        <w:t xml:space="preserve"> (nezaopatřené dítě - viz zákon č. 117/1995., o státní sociální podpoře, ve znění pozdějších předpisů); </w:t>
      </w:r>
    </w:p>
    <w:p w:rsidR="009F47B6" w:rsidRPr="00456A04" w:rsidRDefault="009F47B6" w:rsidP="00F262C9">
      <w:pPr>
        <w:pStyle w:val="Default"/>
        <w:numPr>
          <w:ilvl w:val="0"/>
          <w:numId w:val="2"/>
        </w:numPr>
        <w:spacing w:line="360" w:lineRule="auto"/>
        <w:rPr>
          <w:sz w:val="22"/>
          <w:szCs w:val="22"/>
        </w:rPr>
      </w:pPr>
      <w:r w:rsidRPr="00456A04">
        <w:rPr>
          <w:sz w:val="23"/>
          <w:szCs w:val="23"/>
        </w:rPr>
        <w:t>uvolnění členové zastupitelstva obce</w:t>
      </w:r>
      <w:r w:rsidRPr="00456A04">
        <w:rPr>
          <w:sz w:val="22"/>
          <w:szCs w:val="22"/>
        </w:rPr>
        <w:t xml:space="preserve">; </w:t>
      </w:r>
    </w:p>
    <w:p w:rsidR="009F47B6" w:rsidRPr="00456A04" w:rsidRDefault="009F47B6" w:rsidP="00F262C9">
      <w:pPr>
        <w:pStyle w:val="Default"/>
        <w:spacing w:line="360" w:lineRule="auto"/>
        <w:rPr>
          <w:sz w:val="22"/>
          <w:szCs w:val="22"/>
        </w:rPr>
      </w:pPr>
    </w:p>
    <w:p w:rsidR="009F47B6" w:rsidRPr="00456A04" w:rsidRDefault="009F47B6" w:rsidP="00F262C9">
      <w:pPr>
        <w:pStyle w:val="Default"/>
        <w:spacing w:before="240" w:after="240" w:line="360" w:lineRule="auto"/>
        <w:jc w:val="center"/>
        <w:rPr>
          <w:sz w:val="23"/>
          <w:szCs w:val="23"/>
        </w:rPr>
      </w:pPr>
      <w:r w:rsidRPr="00456A04">
        <w:rPr>
          <w:sz w:val="23"/>
          <w:szCs w:val="23"/>
        </w:rPr>
        <w:t>Čl. 3</w:t>
      </w:r>
    </w:p>
    <w:p w:rsidR="009F47B6" w:rsidRPr="00456A04" w:rsidRDefault="009F47B6" w:rsidP="00F262C9">
      <w:pPr>
        <w:pStyle w:val="Default"/>
        <w:spacing w:before="240" w:after="240" w:line="360" w:lineRule="auto"/>
        <w:jc w:val="center"/>
        <w:rPr>
          <w:sz w:val="28"/>
          <w:szCs w:val="28"/>
        </w:rPr>
      </w:pPr>
      <w:r w:rsidRPr="00456A04">
        <w:rPr>
          <w:b/>
          <w:bCs/>
          <w:sz w:val="28"/>
          <w:szCs w:val="28"/>
        </w:rPr>
        <w:t>Tvorba fondu</w:t>
      </w:r>
    </w:p>
    <w:p w:rsidR="009F47B6" w:rsidRPr="00456A04" w:rsidRDefault="009F47B6" w:rsidP="00F262C9">
      <w:pPr>
        <w:pStyle w:val="Default"/>
        <w:numPr>
          <w:ilvl w:val="0"/>
          <w:numId w:val="3"/>
        </w:numPr>
        <w:spacing w:line="360" w:lineRule="auto"/>
        <w:rPr>
          <w:sz w:val="23"/>
          <w:szCs w:val="23"/>
        </w:rPr>
      </w:pPr>
      <w:r w:rsidRPr="00456A04">
        <w:rPr>
          <w:sz w:val="23"/>
          <w:szCs w:val="23"/>
        </w:rPr>
        <w:t xml:space="preserve">Zdroje fondu tvoří </w:t>
      </w:r>
    </w:p>
    <w:p w:rsidR="009F47B6" w:rsidRPr="00456A04" w:rsidRDefault="009F47B6" w:rsidP="00F262C9">
      <w:pPr>
        <w:pStyle w:val="Default"/>
        <w:spacing w:line="360" w:lineRule="auto"/>
        <w:rPr>
          <w:sz w:val="23"/>
          <w:szCs w:val="23"/>
        </w:rPr>
      </w:pPr>
    </w:p>
    <w:p w:rsidR="009F47B6" w:rsidRPr="00456A04" w:rsidRDefault="009F47B6" w:rsidP="00F262C9">
      <w:pPr>
        <w:pStyle w:val="Default"/>
        <w:numPr>
          <w:ilvl w:val="0"/>
          <w:numId w:val="5"/>
        </w:numPr>
        <w:spacing w:after="27" w:line="360" w:lineRule="auto"/>
        <w:rPr>
          <w:sz w:val="23"/>
          <w:szCs w:val="23"/>
        </w:rPr>
      </w:pPr>
      <w:r w:rsidRPr="00456A04">
        <w:rPr>
          <w:sz w:val="23"/>
          <w:szCs w:val="23"/>
        </w:rPr>
        <w:t xml:space="preserve">zůstatek sociálního fondu obce z minulého roku </w:t>
      </w:r>
    </w:p>
    <w:p w:rsidR="009F47B6" w:rsidRPr="00456A04" w:rsidRDefault="009F47B6" w:rsidP="00F262C9">
      <w:pPr>
        <w:pStyle w:val="Default"/>
        <w:numPr>
          <w:ilvl w:val="0"/>
          <w:numId w:val="5"/>
        </w:numPr>
        <w:spacing w:after="27" w:line="360" w:lineRule="auto"/>
        <w:rPr>
          <w:sz w:val="23"/>
          <w:szCs w:val="23"/>
        </w:rPr>
      </w:pPr>
      <w:r w:rsidRPr="00456A04">
        <w:rPr>
          <w:sz w:val="23"/>
          <w:szCs w:val="23"/>
        </w:rPr>
        <w:t xml:space="preserve">splátky půjček </w:t>
      </w:r>
    </w:p>
    <w:p w:rsidR="009F47B6" w:rsidRPr="00456A04" w:rsidRDefault="009F47B6" w:rsidP="00F262C9">
      <w:pPr>
        <w:pStyle w:val="Default"/>
        <w:numPr>
          <w:ilvl w:val="0"/>
          <w:numId w:val="5"/>
        </w:numPr>
        <w:spacing w:after="27" w:line="360" w:lineRule="auto"/>
        <w:rPr>
          <w:sz w:val="23"/>
          <w:szCs w:val="23"/>
        </w:rPr>
      </w:pPr>
      <w:r w:rsidRPr="00456A04">
        <w:rPr>
          <w:sz w:val="23"/>
          <w:szCs w:val="23"/>
        </w:rPr>
        <w:t xml:space="preserve">příděl z rozpočtu obce </w:t>
      </w:r>
    </w:p>
    <w:p w:rsidR="009F47B6" w:rsidRPr="00456A04" w:rsidRDefault="009F47B6" w:rsidP="00F262C9">
      <w:pPr>
        <w:pStyle w:val="Default"/>
        <w:numPr>
          <w:ilvl w:val="0"/>
          <w:numId w:val="5"/>
        </w:numPr>
        <w:spacing w:line="360" w:lineRule="auto"/>
        <w:rPr>
          <w:sz w:val="23"/>
          <w:szCs w:val="23"/>
        </w:rPr>
      </w:pPr>
      <w:r w:rsidRPr="00456A04">
        <w:rPr>
          <w:sz w:val="23"/>
          <w:szCs w:val="23"/>
        </w:rPr>
        <w:t xml:space="preserve">úroky z účtu sociální fondu </w:t>
      </w:r>
    </w:p>
    <w:p w:rsidR="009F47B6" w:rsidRPr="00456A04" w:rsidRDefault="009F47B6" w:rsidP="00F262C9">
      <w:pPr>
        <w:pStyle w:val="Default"/>
        <w:spacing w:line="360" w:lineRule="auto"/>
        <w:rPr>
          <w:sz w:val="23"/>
          <w:szCs w:val="23"/>
        </w:rPr>
      </w:pPr>
    </w:p>
    <w:p w:rsidR="009F47B6" w:rsidRPr="00456A04" w:rsidRDefault="009F47B6" w:rsidP="00F262C9">
      <w:pPr>
        <w:pStyle w:val="Default"/>
        <w:numPr>
          <w:ilvl w:val="0"/>
          <w:numId w:val="3"/>
        </w:numPr>
        <w:spacing w:line="360" w:lineRule="auto"/>
        <w:rPr>
          <w:sz w:val="23"/>
          <w:szCs w:val="23"/>
        </w:rPr>
      </w:pPr>
      <w:r w:rsidRPr="00456A04">
        <w:rPr>
          <w:sz w:val="23"/>
          <w:szCs w:val="23"/>
        </w:rPr>
        <w:lastRenderedPageBreak/>
        <w:t xml:space="preserve">Výši přídělu z rozpočtu obce stanoví pro každý kalendářní rok zastupitelstvo obce v rámci schvalovaného rozpočtu s přihlédnutím k aktuální výši zůstatku sociálního fondu z předchozího roku a jeho předpokládanému čerpání v roce následujícím. </w:t>
      </w:r>
    </w:p>
    <w:p w:rsidR="009F47B6" w:rsidRPr="00456A04" w:rsidRDefault="009F47B6" w:rsidP="00F262C9">
      <w:pPr>
        <w:pStyle w:val="Default"/>
        <w:spacing w:line="360" w:lineRule="auto"/>
        <w:rPr>
          <w:color w:val="auto"/>
        </w:rPr>
      </w:pPr>
    </w:p>
    <w:p w:rsidR="009F47B6" w:rsidRPr="00456A04" w:rsidRDefault="008602BB" w:rsidP="008602BB">
      <w:pPr>
        <w:pStyle w:val="Default"/>
        <w:tabs>
          <w:tab w:val="center" w:pos="4536"/>
        </w:tabs>
        <w:spacing w:before="240" w:after="240" w:line="360" w:lineRule="auto"/>
        <w:rPr>
          <w:color w:val="auto"/>
          <w:sz w:val="23"/>
          <w:szCs w:val="23"/>
        </w:rPr>
      </w:pPr>
      <w:r>
        <w:rPr>
          <w:color w:val="auto"/>
          <w:sz w:val="23"/>
          <w:szCs w:val="23"/>
        </w:rPr>
        <w:tab/>
      </w:r>
      <w:r w:rsidR="009F47B6" w:rsidRPr="00456A04">
        <w:rPr>
          <w:color w:val="auto"/>
          <w:sz w:val="23"/>
          <w:szCs w:val="23"/>
        </w:rPr>
        <w:t>Čl. 4</w:t>
      </w:r>
    </w:p>
    <w:p w:rsidR="009F47B6" w:rsidRPr="00456A04" w:rsidRDefault="009F47B6" w:rsidP="00F262C9">
      <w:pPr>
        <w:pStyle w:val="Default"/>
        <w:spacing w:before="240" w:after="240" w:line="360" w:lineRule="auto"/>
        <w:jc w:val="center"/>
        <w:rPr>
          <w:color w:val="auto"/>
          <w:sz w:val="28"/>
          <w:szCs w:val="28"/>
        </w:rPr>
      </w:pPr>
      <w:r w:rsidRPr="00456A04">
        <w:rPr>
          <w:b/>
          <w:bCs/>
          <w:color w:val="auto"/>
          <w:sz w:val="28"/>
          <w:szCs w:val="28"/>
        </w:rPr>
        <w:t>Používání fondu</w:t>
      </w:r>
    </w:p>
    <w:p w:rsidR="009F47B6" w:rsidRPr="00456A04" w:rsidRDefault="009F47B6" w:rsidP="00F262C9">
      <w:pPr>
        <w:pStyle w:val="Default"/>
        <w:spacing w:line="360" w:lineRule="auto"/>
        <w:rPr>
          <w:color w:val="auto"/>
          <w:sz w:val="23"/>
          <w:szCs w:val="23"/>
        </w:rPr>
      </w:pPr>
      <w:r w:rsidRPr="00456A04">
        <w:rPr>
          <w:color w:val="auto"/>
          <w:sz w:val="23"/>
          <w:szCs w:val="23"/>
        </w:rPr>
        <w:t>Prostředky Sociální</w:t>
      </w:r>
      <w:r w:rsidR="00F262C9">
        <w:rPr>
          <w:color w:val="auto"/>
          <w:sz w:val="23"/>
          <w:szCs w:val="23"/>
        </w:rPr>
        <w:t>ho fondu lze použít zejména na:</w:t>
      </w:r>
      <w:r w:rsidRPr="00456A04">
        <w:rPr>
          <w:color w:val="auto"/>
          <w:sz w:val="23"/>
          <w:szCs w:val="23"/>
        </w:rPr>
        <w:t xml:space="preserve"> </w:t>
      </w:r>
    </w:p>
    <w:p w:rsidR="009F47B6" w:rsidRPr="00456A04" w:rsidRDefault="009F47B6" w:rsidP="00322D85">
      <w:pPr>
        <w:pStyle w:val="Default"/>
        <w:numPr>
          <w:ilvl w:val="0"/>
          <w:numId w:val="6"/>
        </w:numPr>
        <w:spacing w:before="240" w:line="360" w:lineRule="auto"/>
        <w:rPr>
          <w:color w:val="auto"/>
          <w:sz w:val="23"/>
          <w:szCs w:val="23"/>
        </w:rPr>
      </w:pPr>
      <w:r w:rsidRPr="00456A04">
        <w:rPr>
          <w:b/>
          <w:bCs/>
          <w:color w:val="auto"/>
          <w:sz w:val="23"/>
          <w:szCs w:val="23"/>
        </w:rPr>
        <w:t xml:space="preserve">poskytování odměn u životního jubilea: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spacing w:line="360" w:lineRule="auto"/>
        <w:rPr>
          <w:color w:val="auto"/>
          <w:sz w:val="23"/>
          <w:szCs w:val="23"/>
        </w:rPr>
      </w:pPr>
      <w:r w:rsidRPr="00456A04">
        <w:rPr>
          <w:color w:val="auto"/>
          <w:sz w:val="23"/>
          <w:szCs w:val="23"/>
        </w:rPr>
        <w:t xml:space="preserve">Při životních výročích zaměstnanců, jejichž pracovní poměr u organizace trvá nepřetržitě </w:t>
      </w:r>
    </w:p>
    <w:p w:rsidR="009F47B6" w:rsidRPr="00456A04" w:rsidRDefault="009F47B6" w:rsidP="00F262C9">
      <w:pPr>
        <w:pStyle w:val="Default"/>
        <w:spacing w:line="360" w:lineRule="auto"/>
        <w:rPr>
          <w:color w:val="auto"/>
          <w:sz w:val="23"/>
          <w:szCs w:val="23"/>
        </w:rPr>
      </w:pPr>
      <w:r w:rsidRPr="00456A04">
        <w:rPr>
          <w:color w:val="auto"/>
          <w:sz w:val="23"/>
          <w:szCs w:val="23"/>
        </w:rPr>
        <w:t>5 let, mohou být ze Sociálního fondu poskytn</w:t>
      </w:r>
      <w:r w:rsidR="00F262C9">
        <w:rPr>
          <w:color w:val="auto"/>
          <w:sz w:val="23"/>
          <w:szCs w:val="23"/>
        </w:rPr>
        <w:t>uty jubilejní odměny při příleži</w:t>
      </w:r>
      <w:r w:rsidRPr="00456A04">
        <w:rPr>
          <w:color w:val="auto"/>
          <w:sz w:val="23"/>
          <w:szCs w:val="23"/>
        </w:rPr>
        <w:t xml:space="preserve">tosti: </w:t>
      </w:r>
    </w:p>
    <w:p w:rsidR="009F47B6" w:rsidRPr="00456A04" w:rsidRDefault="009F47B6" w:rsidP="00F262C9">
      <w:pPr>
        <w:pStyle w:val="Default"/>
        <w:numPr>
          <w:ilvl w:val="0"/>
          <w:numId w:val="7"/>
        </w:numPr>
        <w:spacing w:after="27" w:line="360" w:lineRule="auto"/>
        <w:rPr>
          <w:color w:val="auto"/>
          <w:sz w:val="23"/>
          <w:szCs w:val="23"/>
        </w:rPr>
      </w:pPr>
      <w:r w:rsidRPr="00456A04">
        <w:rPr>
          <w:color w:val="auto"/>
          <w:sz w:val="23"/>
          <w:szCs w:val="23"/>
        </w:rPr>
        <w:t xml:space="preserve">dosažení věku 50 let, </w:t>
      </w:r>
    </w:p>
    <w:p w:rsidR="009F47B6" w:rsidRPr="00456A04" w:rsidRDefault="009F47B6" w:rsidP="00F262C9">
      <w:pPr>
        <w:pStyle w:val="Default"/>
        <w:numPr>
          <w:ilvl w:val="0"/>
          <w:numId w:val="7"/>
        </w:numPr>
        <w:spacing w:after="27" w:line="360" w:lineRule="auto"/>
        <w:rPr>
          <w:color w:val="auto"/>
          <w:sz w:val="23"/>
          <w:szCs w:val="23"/>
        </w:rPr>
      </w:pPr>
      <w:r w:rsidRPr="00456A04">
        <w:rPr>
          <w:color w:val="auto"/>
          <w:sz w:val="23"/>
          <w:szCs w:val="23"/>
        </w:rPr>
        <w:t xml:space="preserve">dosažení věku 60 let </w:t>
      </w:r>
    </w:p>
    <w:p w:rsidR="009F47B6" w:rsidRPr="00456A04" w:rsidRDefault="009F47B6" w:rsidP="00F262C9">
      <w:pPr>
        <w:pStyle w:val="Default"/>
        <w:numPr>
          <w:ilvl w:val="0"/>
          <w:numId w:val="7"/>
        </w:numPr>
        <w:spacing w:line="360" w:lineRule="auto"/>
        <w:rPr>
          <w:color w:val="auto"/>
          <w:sz w:val="23"/>
          <w:szCs w:val="23"/>
        </w:rPr>
      </w:pPr>
      <w:r w:rsidRPr="00456A04">
        <w:rPr>
          <w:color w:val="auto"/>
          <w:sz w:val="23"/>
          <w:szCs w:val="23"/>
        </w:rPr>
        <w:t xml:space="preserve">prvního skončení pracovního poměru při nabytí nároku na starobní nebo invalidní důchod.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ad a) Odměna při dosažení věku 50 let činí: </w:t>
      </w:r>
    </w:p>
    <w:p w:rsidR="009F47B6" w:rsidRPr="00456A04" w:rsidRDefault="009F47B6" w:rsidP="00F262C9">
      <w:pPr>
        <w:pStyle w:val="Default"/>
        <w:spacing w:line="360" w:lineRule="auto"/>
        <w:rPr>
          <w:color w:val="auto"/>
          <w:sz w:val="23"/>
          <w:szCs w:val="23"/>
        </w:rPr>
      </w:pPr>
      <w:r w:rsidRPr="00456A04">
        <w:rPr>
          <w:color w:val="auto"/>
          <w:sz w:val="23"/>
          <w:szCs w:val="23"/>
        </w:rPr>
        <w:t xml:space="preserve">u pracovníků pracovně činných v závislosti na počtu odpracovaných let u organizace: </w:t>
      </w:r>
    </w:p>
    <w:p w:rsidR="009F47B6" w:rsidRPr="00DA26CE" w:rsidRDefault="009F47B6" w:rsidP="00F262C9">
      <w:pPr>
        <w:pStyle w:val="Default"/>
        <w:numPr>
          <w:ilvl w:val="0"/>
          <w:numId w:val="8"/>
        </w:numPr>
        <w:spacing w:line="360" w:lineRule="auto"/>
        <w:rPr>
          <w:color w:val="auto"/>
          <w:sz w:val="23"/>
          <w:szCs w:val="23"/>
        </w:rPr>
      </w:pPr>
      <w:r w:rsidRPr="00456A04">
        <w:rPr>
          <w:color w:val="auto"/>
          <w:sz w:val="23"/>
          <w:szCs w:val="23"/>
        </w:rPr>
        <w:t xml:space="preserve">nejméně 5 let 3.000 Kč </w:t>
      </w:r>
    </w:p>
    <w:p w:rsidR="009F47B6" w:rsidRPr="00456A04" w:rsidRDefault="009F47B6" w:rsidP="00F262C9">
      <w:pPr>
        <w:pStyle w:val="Default"/>
        <w:numPr>
          <w:ilvl w:val="0"/>
          <w:numId w:val="8"/>
        </w:numPr>
        <w:spacing w:line="360" w:lineRule="auto"/>
        <w:rPr>
          <w:color w:val="auto"/>
          <w:sz w:val="23"/>
          <w:szCs w:val="23"/>
        </w:rPr>
      </w:pPr>
      <w:r w:rsidRPr="00456A04">
        <w:rPr>
          <w:color w:val="auto"/>
          <w:sz w:val="23"/>
          <w:szCs w:val="23"/>
        </w:rPr>
        <w:t xml:space="preserve">b) nejméně 10 let 4.000 Kč </w:t>
      </w:r>
    </w:p>
    <w:p w:rsidR="009F47B6" w:rsidRPr="00456A04" w:rsidRDefault="009F47B6" w:rsidP="00F262C9">
      <w:pPr>
        <w:pStyle w:val="Default"/>
        <w:numPr>
          <w:ilvl w:val="0"/>
          <w:numId w:val="8"/>
        </w:numPr>
        <w:spacing w:line="360" w:lineRule="auto"/>
        <w:rPr>
          <w:color w:val="auto"/>
          <w:sz w:val="23"/>
          <w:szCs w:val="23"/>
        </w:rPr>
      </w:pPr>
      <w:r w:rsidRPr="00456A04">
        <w:rPr>
          <w:color w:val="auto"/>
          <w:sz w:val="23"/>
          <w:szCs w:val="23"/>
        </w:rPr>
        <w:t xml:space="preserve">nejméně 15 let 5.000 Kč </w:t>
      </w:r>
    </w:p>
    <w:p w:rsidR="009F47B6" w:rsidRPr="00456A04" w:rsidRDefault="009F47B6" w:rsidP="00F262C9">
      <w:pPr>
        <w:pStyle w:val="Default"/>
        <w:spacing w:line="360" w:lineRule="auto"/>
        <w:rPr>
          <w:color w:val="auto"/>
          <w:sz w:val="23"/>
          <w:szCs w:val="23"/>
        </w:rPr>
      </w:pPr>
      <w:r w:rsidRPr="00456A04">
        <w:rPr>
          <w:color w:val="auto"/>
          <w:sz w:val="23"/>
          <w:szCs w:val="23"/>
        </w:rPr>
        <w:t xml:space="preserve">U pracovníků volených a jmenovaných se do počtu odpracovaných let započítá i doba </w:t>
      </w:r>
    </w:p>
    <w:p w:rsidR="009F47B6" w:rsidRPr="00456A04" w:rsidRDefault="009F47B6" w:rsidP="00F262C9">
      <w:pPr>
        <w:pStyle w:val="Default"/>
        <w:spacing w:line="360" w:lineRule="auto"/>
        <w:rPr>
          <w:color w:val="auto"/>
          <w:sz w:val="23"/>
          <w:szCs w:val="23"/>
        </w:rPr>
      </w:pPr>
      <w:r w:rsidRPr="00456A04">
        <w:rPr>
          <w:color w:val="auto"/>
          <w:sz w:val="23"/>
          <w:szCs w:val="23"/>
        </w:rPr>
        <w:t xml:space="preserve">předchozích zaměstnání. </w:t>
      </w: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ad b) Odměna při dosažení věku 60 let činí: </w:t>
      </w:r>
    </w:p>
    <w:p w:rsidR="009F47B6" w:rsidRPr="00456A04" w:rsidRDefault="009F47B6" w:rsidP="00F262C9">
      <w:pPr>
        <w:pStyle w:val="Default"/>
        <w:spacing w:line="360" w:lineRule="auto"/>
        <w:rPr>
          <w:color w:val="auto"/>
          <w:sz w:val="23"/>
          <w:szCs w:val="23"/>
        </w:rPr>
      </w:pPr>
      <w:r w:rsidRPr="00456A04">
        <w:rPr>
          <w:color w:val="auto"/>
          <w:sz w:val="23"/>
          <w:szCs w:val="23"/>
        </w:rPr>
        <w:t xml:space="preserve">u pracovníků v pracovním poměru 5.000 Kč </w:t>
      </w: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ad c) </w:t>
      </w: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Odměna při prvním skončení pracovního poměru po vzniku nároku na starobní </w:t>
      </w: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důchod nebo při přiznání plného invalidního důchodu v závislosti na počtu </w:t>
      </w:r>
    </w:p>
    <w:p w:rsidR="009F47B6" w:rsidRPr="00456A04" w:rsidRDefault="009F47B6" w:rsidP="00F262C9">
      <w:pPr>
        <w:pStyle w:val="Default"/>
        <w:spacing w:line="360" w:lineRule="auto"/>
        <w:rPr>
          <w:color w:val="auto"/>
          <w:sz w:val="23"/>
          <w:szCs w:val="23"/>
        </w:rPr>
      </w:pPr>
      <w:r w:rsidRPr="00456A04">
        <w:rPr>
          <w:b/>
          <w:bCs/>
          <w:color w:val="auto"/>
          <w:sz w:val="23"/>
          <w:szCs w:val="23"/>
        </w:rPr>
        <w:t xml:space="preserve">odpracovaných let v organizaci činí: </w:t>
      </w:r>
    </w:p>
    <w:p w:rsidR="009F47B6" w:rsidRPr="00456A04" w:rsidRDefault="009F47B6" w:rsidP="00F262C9">
      <w:pPr>
        <w:pStyle w:val="Default"/>
        <w:spacing w:after="27" w:line="360" w:lineRule="auto"/>
        <w:rPr>
          <w:color w:val="auto"/>
          <w:sz w:val="23"/>
          <w:szCs w:val="23"/>
        </w:rPr>
      </w:pPr>
      <w:r w:rsidRPr="00456A04">
        <w:rPr>
          <w:color w:val="auto"/>
          <w:sz w:val="23"/>
          <w:szCs w:val="23"/>
        </w:rPr>
        <w:t xml:space="preserve">- nejméně 10 let – 5.000,- Kč </w:t>
      </w:r>
    </w:p>
    <w:p w:rsidR="009F47B6" w:rsidRPr="00456A04" w:rsidRDefault="009F47B6" w:rsidP="00F262C9">
      <w:pPr>
        <w:pStyle w:val="Default"/>
        <w:spacing w:after="27" w:line="360" w:lineRule="auto"/>
        <w:rPr>
          <w:color w:val="auto"/>
          <w:sz w:val="23"/>
          <w:szCs w:val="23"/>
        </w:rPr>
      </w:pPr>
      <w:r w:rsidRPr="00456A04">
        <w:rPr>
          <w:color w:val="auto"/>
          <w:sz w:val="23"/>
          <w:szCs w:val="23"/>
        </w:rPr>
        <w:t xml:space="preserve">- nejméně 20 let – 10.000,- Kč </w:t>
      </w:r>
    </w:p>
    <w:p w:rsidR="009F47B6" w:rsidRPr="00456A04" w:rsidRDefault="009F47B6" w:rsidP="00F262C9">
      <w:pPr>
        <w:pStyle w:val="Default"/>
        <w:spacing w:line="360" w:lineRule="auto"/>
        <w:rPr>
          <w:color w:val="auto"/>
          <w:sz w:val="23"/>
          <w:szCs w:val="23"/>
        </w:rPr>
      </w:pPr>
      <w:r w:rsidRPr="00456A04">
        <w:rPr>
          <w:color w:val="auto"/>
          <w:sz w:val="23"/>
          <w:szCs w:val="23"/>
        </w:rPr>
        <w:t xml:space="preserve">- nejméně 30 let – 15.000,- Kč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9"/>
        </w:numPr>
        <w:spacing w:line="360" w:lineRule="auto"/>
        <w:rPr>
          <w:color w:val="auto"/>
          <w:sz w:val="23"/>
          <w:szCs w:val="23"/>
        </w:rPr>
      </w:pPr>
      <w:r w:rsidRPr="00456A04">
        <w:rPr>
          <w:color w:val="auto"/>
          <w:sz w:val="23"/>
          <w:szCs w:val="23"/>
        </w:rPr>
        <w:t xml:space="preserve">Odměna při prvním skončení pracovního poměru po vzniku nároku na starobní důchod nebo při přiznání plného invalidního důchodu nepřísluší zaměstnancům, kteří ukončili pracovní poměr výpovědí danou zaměstnavatelem, popřípadě dohodou z důvodů uvedených v Zákoníku práce § 52, písm. a) až c) a vznikl jim nárok na výplatu odstupného. </w:t>
      </w:r>
    </w:p>
    <w:p w:rsidR="009F47B6" w:rsidRPr="00456A04" w:rsidRDefault="009F47B6" w:rsidP="00F262C9">
      <w:pPr>
        <w:pStyle w:val="Default"/>
        <w:numPr>
          <w:ilvl w:val="0"/>
          <w:numId w:val="9"/>
        </w:numPr>
        <w:spacing w:line="360" w:lineRule="auto"/>
        <w:rPr>
          <w:color w:val="auto"/>
        </w:rPr>
      </w:pPr>
      <w:r w:rsidRPr="00456A04">
        <w:rPr>
          <w:color w:val="auto"/>
          <w:sz w:val="23"/>
          <w:szCs w:val="23"/>
        </w:rPr>
        <w:t>Odměna může být přiznána, pokud životní výročí a podmínka nepřetržitého trvání pracovního poměru bude splněna do konce kalendářního roku</w:t>
      </w:r>
      <w:r w:rsidR="008F423D">
        <w:rPr>
          <w:color w:val="auto"/>
          <w:sz w:val="23"/>
          <w:szCs w:val="23"/>
        </w:rPr>
        <w:t>.</w:t>
      </w:r>
    </w:p>
    <w:p w:rsidR="009F47B6" w:rsidRPr="00456A04" w:rsidRDefault="009F47B6" w:rsidP="008602BB">
      <w:pPr>
        <w:pStyle w:val="Default"/>
        <w:numPr>
          <w:ilvl w:val="0"/>
          <w:numId w:val="9"/>
        </w:numPr>
        <w:spacing w:line="360" w:lineRule="auto"/>
        <w:ind w:left="1066" w:hanging="357"/>
        <w:rPr>
          <w:color w:val="auto"/>
          <w:sz w:val="23"/>
          <w:szCs w:val="23"/>
        </w:rPr>
      </w:pPr>
      <w:r w:rsidRPr="00456A04">
        <w:rPr>
          <w:color w:val="auto"/>
          <w:sz w:val="23"/>
          <w:szCs w:val="23"/>
        </w:rPr>
        <w:t xml:space="preserve">U pracovníků volených a jmenovaných se do počtu odpracovaných let započítává i doba předchozích zaměstnání. </w:t>
      </w:r>
    </w:p>
    <w:p w:rsidR="009F47B6" w:rsidRPr="00456A04" w:rsidRDefault="009F47B6" w:rsidP="00F262C9">
      <w:pPr>
        <w:pStyle w:val="Default"/>
        <w:numPr>
          <w:ilvl w:val="0"/>
          <w:numId w:val="9"/>
        </w:numPr>
        <w:spacing w:line="360" w:lineRule="auto"/>
        <w:rPr>
          <w:color w:val="auto"/>
          <w:sz w:val="23"/>
          <w:szCs w:val="23"/>
        </w:rPr>
      </w:pPr>
      <w:r w:rsidRPr="00456A04">
        <w:rPr>
          <w:color w:val="auto"/>
          <w:sz w:val="23"/>
          <w:szCs w:val="23"/>
        </w:rPr>
        <w:t xml:space="preserve">Odměna nemůže být přiznána u pracovníka, který se dopustil v období 3 let před skončením pracovního poměru závažného porušení pracovních povinností vyplývajících z jeho funkčního zařazení. </w:t>
      </w:r>
    </w:p>
    <w:p w:rsidR="009F47B6" w:rsidRPr="00456A04" w:rsidRDefault="009F47B6" w:rsidP="004E2E31">
      <w:pPr>
        <w:pStyle w:val="Default"/>
        <w:numPr>
          <w:ilvl w:val="0"/>
          <w:numId w:val="6"/>
        </w:numPr>
        <w:spacing w:before="240" w:after="240" w:line="360" w:lineRule="auto"/>
        <w:rPr>
          <w:color w:val="auto"/>
          <w:sz w:val="23"/>
          <w:szCs w:val="23"/>
        </w:rPr>
      </w:pPr>
      <w:r w:rsidRPr="00456A04">
        <w:rPr>
          <w:b/>
          <w:bCs/>
          <w:color w:val="auto"/>
          <w:sz w:val="23"/>
          <w:szCs w:val="23"/>
        </w:rPr>
        <w:t xml:space="preserve">Příspěvek na rekreaci, rekondici a rehabilitaci (prostřednictvím osobních účtů): </w:t>
      </w: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Zaměstnavatel vytvoří a vede osobní účty zaměstnanců. Prostřednictvím osobních účtů zaměstnavatel přispívá zaměstnancům bezhotovostně na rekreační, léčebné nebo ozdravné pobyty a dětské rekreace, rovněž přispívá na úhradu služeb s rekondičním a rehabilitačním charakterem.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Příděl do osobn</w:t>
      </w:r>
      <w:r w:rsidR="00B35A5E">
        <w:rPr>
          <w:color w:val="auto"/>
          <w:sz w:val="23"/>
          <w:szCs w:val="23"/>
        </w:rPr>
        <w:t>ího účtu na příslušný rok činí 4</w:t>
      </w:r>
      <w:r w:rsidRPr="00456A04">
        <w:rPr>
          <w:color w:val="auto"/>
          <w:sz w:val="23"/>
          <w:szCs w:val="23"/>
        </w:rPr>
        <w:t>.000 Kč. Prostředky přidělené do osobního účtu zaměstnance v příslušném kalendářním roce je možné čerpat nejpozději do 31.</w:t>
      </w:r>
      <w:r w:rsidR="00F262C9">
        <w:rPr>
          <w:color w:val="auto"/>
          <w:sz w:val="23"/>
          <w:szCs w:val="23"/>
        </w:rPr>
        <w:t xml:space="preserve"> </w:t>
      </w:r>
      <w:r w:rsidRPr="00456A04">
        <w:rPr>
          <w:color w:val="auto"/>
          <w:sz w:val="23"/>
          <w:szCs w:val="23"/>
        </w:rPr>
        <w:t>12.</w:t>
      </w:r>
      <w:r w:rsidR="00F53A59">
        <w:rPr>
          <w:color w:val="auto"/>
          <w:sz w:val="23"/>
          <w:szCs w:val="23"/>
        </w:rPr>
        <w:t xml:space="preserve"> </w:t>
      </w:r>
      <w:r w:rsidRPr="00F53A59">
        <w:rPr>
          <w:color w:val="auto"/>
          <w:sz w:val="23"/>
          <w:szCs w:val="23"/>
        </w:rPr>
        <w:t>tohoto</w:t>
      </w:r>
      <w:r w:rsidRPr="00456A04">
        <w:rPr>
          <w:color w:val="auto"/>
          <w:sz w:val="23"/>
          <w:szCs w:val="23"/>
        </w:rPr>
        <w:t xml:space="preserve"> kalendářního roku. Pokud nebude do této doby použit příspěvek na stanovený účel, do dalšího období jej nelze převést.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V případě, že zaměstnanec vykonává u zaměstnavatele práci ve zkráceném pracovním úvazku, výše prostředků osobního účtu se úměrně krátí podle délky pracovního úvazku, ve kterém pracuje v době přídělu prostředků do osobního účtu.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Vznikne-li pracovní poměr zaměstnance v průběhu kalendářního měsíce, bude mu příspěvek vytvořen od prvního dne následujícího kalendářního měsíce. Čerpání z osobního účtu je umožněno až po uplynutí zkušební doby a prostředky do něj se přidělí v poměrné výši dle trvání pracovního poměru v příslušném kalendářním roce.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Zaměstnanci, jejichž pracovní poměr končí výpovědí ze strany zaměstnance, mají nárok na prostředky z osobního účtu v poměrné výši dle trvání pracovního poměru v příslušném kalendářním roce.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Prostředky z osobního účtu nepřísluší zaměstnancům, jejichž pracovní poměr končí výpovědí ze strany zaměstnavatele podle § 52 písm. f) a g) Zákoníku práce.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0"/>
          <w:szCs w:val="20"/>
        </w:rPr>
        <w:t>V</w:t>
      </w:r>
      <w:r w:rsidRPr="00456A04">
        <w:rPr>
          <w:color w:val="auto"/>
          <w:sz w:val="23"/>
          <w:szCs w:val="23"/>
        </w:rPr>
        <w:t xml:space="preserve">yčerpá-li zaměstnanec prostředky z osobního účtu a poté ukončí v průběhu kalendářního roku pracovní poměr, vyčerpané prostředky již nevrací.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Nejnižší jednorázová částka, kterou lze prostřednictvím osobního účtu zaměstnance uhradit, činí 1 000 Kč, s výjimkou dočerpání zůstatku osobního účtu při skončení pracovního poměru. Čerpat z osobního účtu může zaměstnanec nejvýše třikrát v příslušném kalendářním roce.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0"/>
        </w:numPr>
        <w:spacing w:line="360" w:lineRule="auto"/>
        <w:rPr>
          <w:color w:val="auto"/>
          <w:sz w:val="23"/>
          <w:szCs w:val="23"/>
        </w:rPr>
      </w:pPr>
      <w:r w:rsidRPr="00456A04">
        <w:rPr>
          <w:color w:val="auto"/>
          <w:sz w:val="23"/>
          <w:szCs w:val="23"/>
        </w:rPr>
        <w:t xml:space="preserve">Možnost čerpání osobního účtu končí dnem skončení pracovního poměru zaměstnance. </w:t>
      </w:r>
    </w:p>
    <w:p w:rsidR="009F47B6" w:rsidRPr="00456A04" w:rsidRDefault="009F47B6" w:rsidP="00F262C9">
      <w:pPr>
        <w:pStyle w:val="Default"/>
        <w:spacing w:line="360" w:lineRule="auto"/>
        <w:rPr>
          <w:color w:val="auto"/>
          <w:sz w:val="23"/>
          <w:szCs w:val="23"/>
        </w:rPr>
      </w:pPr>
    </w:p>
    <w:p w:rsidR="009F47B6" w:rsidRPr="00456A04" w:rsidRDefault="009F47B6" w:rsidP="004E2E31">
      <w:pPr>
        <w:pStyle w:val="Default"/>
        <w:numPr>
          <w:ilvl w:val="0"/>
          <w:numId w:val="6"/>
        </w:numPr>
        <w:spacing w:line="360" w:lineRule="auto"/>
        <w:rPr>
          <w:color w:val="auto"/>
          <w:sz w:val="23"/>
          <w:szCs w:val="23"/>
        </w:rPr>
      </w:pPr>
      <w:r w:rsidRPr="00456A04">
        <w:rPr>
          <w:b/>
          <w:bCs/>
          <w:color w:val="auto"/>
          <w:sz w:val="23"/>
          <w:szCs w:val="23"/>
        </w:rPr>
        <w:t xml:space="preserve">Příspěvek zaměstnavatele zaměstnancům na penzijní připojištění </w:t>
      </w:r>
    </w:p>
    <w:p w:rsidR="009F47B6" w:rsidRPr="00456A04" w:rsidRDefault="009F47B6" w:rsidP="004E2E31">
      <w:pPr>
        <w:pStyle w:val="Default"/>
        <w:spacing w:after="240" w:line="360" w:lineRule="auto"/>
        <w:rPr>
          <w:color w:val="auto"/>
        </w:rPr>
      </w:pPr>
      <w:r w:rsidRPr="00456A04">
        <w:rPr>
          <w:color w:val="auto"/>
          <w:sz w:val="23"/>
          <w:szCs w:val="23"/>
        </w:rPr>
        <w:t>(dle § 27, odst.</w:t>
      </w:r>
      <w:r w:rsidR="00F262C9">
        <w:rPr>
          <w:color w:val="auto"/>
          <w:sz w:val="23"/>
          <w:szCs w:val="23"/>
        </w:rPr>
        <w:t xml:space="preserve"> 5,</w:t>
      </w:r>
      <w:r w:rsidRPr="00456A04">
        <w:rPr>
          <w:color w:val="auto"/>
          <w:sz w:val="23"/>
          <w:szCs w:val="23"/>
        </w:rPr>
        <w:t xml:space="preserve"> zákona číslo 42/1994 Sb., o penzijním připojištění se státním příspěvkem) </w:t>
      </w:r>
    </w:p>
    <w:p w:rsidR="009F47B6" w:rsidRPr="00F262C9" w:rsidRDefault="009F47B6" w:rsidP="00F262C9">
      <w:pPr>
        <w:pStyle w:val="Default"/>
        <w:numPr>
          <w:ilvl w:val="0"/>
          <w:numId w:val="11"/>
        </w:numPr>
        <w:spacing w:line="360" w:lineRule="auto"/>
        <w:rPr>
          <w:color w:val="auto"/>
          <w:sz w:val="23"/>
          <w:szCs w:val="23"/>
        </w:rPr>
      </w:pPr>
      <w:r w:rsidRPr="00F262C9">
        <w:rPr>
          <w:color w:val="auto"/>
          <w:sz w:val="23"/>
          <w:szCs w:val="23"/>
        </w:rPr>
        <w:t>Pro zaměstnance, jejichž pracovně právní vztah s obcí trvá bez přerušení minimálně 12 měsíců lze poskytnout příspěvek na penzijní připojištění ve výši: a) v případě, že výše vkladu zaměstnance na penzijní připojištění činí 300,- Kč až 400,- Kč, bude příspěvek zaměstnavatele 200,- Kč; b) v případě, že výše vkladu zaměstnance na penzijní připojištění činí 401,- Kč až 500,- Kč, bude příspěvek zaměstnavatele 300,- Kč; c) v případě, že výše vkladu zaměstnance na penzijní připojištění činí 501,- Kč a více Kč,</w:t>
      </w:r>
      <w:r w:rsidR="00B35A5E">
        <w:rPr>
          <w:color w:val="auto"/>
          <w:sz w:val="23"/>
          <w:szCs w:val="23"/>
        </w:rPr>
        <w:t xml:space="preserve"> bude příspěvek zaměstnavatele 5</w:t>
      </w:r>
      <w:r w:rsidRPr="00F262C9">
        <w:rPr>
          <w:color w:val="auto"/>
          <w:sz w:val="23"/>
          <w:szCs w:val="23"/>
        </w:rPr>
        <w:t xml:space="preserve">00,- Kč; </w:t>
      </w:r>
    </w:p>
    <w:p w:rsidR="009F47B6" w:rsidRPr="00456A04" w:rsidRDefault="009F47B6" w:rsidP="00F262C9">
      <w:pPr>
        <w:pStyle w:val="Default"/>
        <w:numPr>
          <w:ilvl w:val="0"/>
          <w:numId w:val="11"/>
        </w:numPr>
        <w:spacing w:line="360" w:lineRule="auto"/>
        <w:rPr>
          <w:color w:val="auto"/>
          <w:sz w:val="23"/>
          <w:szCs w:val="23"/>
        </w:rPr>
      </w:pPr>
      <w:r w:rsidRPr="00456A04">
        <w:rPr>
          <w:color w:val="auto"/>
          <w:sz w:val="23"/>
          <w:szCs w:val="23"/>
        </w:rPr>
        <w:t>Zaměstnanec o příspěvek požádá písemně, součástí žádosti musí být kopie smlouvy s penzijním fondem, se kterým má uzavřenou smlouvu o penzijním připojištění. Souhlas s vyplácením přís</w:t>
      </w:r>
      <w:r w:rsidR="00B35A5E">
        <w:rPr>
          <w:color w:val="auto"/>
          <w:sz w:val="23"/>
          <w:szCs w:val="23"/>
        </w:rPr>
        <w:t>pěvku dává po splnění podmínek starosta</w:t>
      </w:r>
      <w:r w:rsidRPr="00456A04">
        <w:rPr>
          <w:color w:val="auto"/>
          <w:sz w:val="23"/>
          <w:szCs w:val="23"/>
        </w:rPr>
        <w:t xml:space="preserve">.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1"/>
        </w:numPr>
        <w:spacing w:line="360" w:lineRule="auto"/>
        <w:rPr>
          <w:color w:val="auto"/>
          <w:sz w:val="23"/>
          <w:szCs w:val="23"/>
        </w:rPr>
      </w:pPr>
      <w:r w:rsidRPr="00456A04">
        <w:rPr>
          <w:color w:val="auto"/>
          <w:sz w:val="23"/>
          <w:szCs w:val="23"/>
        </w:rPr>
        <w:t xml:space="preserve">V případě zrušení penzijního připojištění je zaměstnanec povinen na tuto skutečnost písemně upozornit určeného zaměstnance úřadu neprodleně, nejpozději do posledního dne kalendářního měsíce předcházejícího měsíci, za který již nebude příspěvek zaměstnavatele dle těchto zásad poskytnut. </w:t>
      </w:r>
    </w:p>
    <w:p w:rsidR="009F47B6" w:rsidRPr="00456A04" w:rsidRDefault="009F47B6" w:rsidP="00F262C9">
      <w:pPr>
        <w:pStyle w:val="Default"/>
        <w:spacing w:line="360" w:lineRule="auto"/>
        <w:rPr>
          <w:color w:val="auto"/>
          <w:sz w:val="23"/>
          <w:szCs w:val="23"/>
        </w:rPr>
      </w:pPr>
    </w:p>
    <w:p w:rsidR="009F47B6" w:rsidRPr="00DA26CE" w:rsidRDefault="009F47B6" w:rsidP="00F262C9">
      <w:pPr>
        <w:pStyle w:val="Default"/>
        <w:numPr>
          <w:ilvl w:val="0"/>
          <w:numId w:val="11"/>
        </w:numPr>
        <w:spacing w:line="360" w:lineRule="auto"/>
        <w:rPr>
          <w:color w:val="auto"/>
          <w:sz w:val="23"/>
          <w:szCs w:val="23"/>
        </w:rPr>
      </w:pPr>
      <w:r w:rsidRPr="00456A04">
        <w:rPr>
          <w:color w:val="auto"/>
          <w:sz w:val="23"/>
          <w:szCs w:val="23"/>
        </w:rPr>
        <w:t>Při změně penzijního fondu je zaměstnanec povinen postupovat obdobně jako v předchozím odstavci včetně dodržení termínu nahláš</w:t>
      </w:r>
      <w:r w:rsidR="00D42E21">
        <w:rPr>
          <w:color w:val="auto"/>
          <w:sz w:val="23"/>
          <w:szCs w:val="23"/>
        </w:rPr>
        <w:t xml:space="preserve">ení změny určenému zaměstnanci </w:t>
      </w:r>
      <w:r w:rsidR="00D42E21" w:rsidRPr="00DA26CE">
        <w:rPr>
          <w:color w:val="auto"/>
          <w:sz w:val="23"/>
          <w:szCs w:val="23"/>
        </w:rPr>
        <w:t>úřadu.</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spacing w:before="240" w:after="240" w:line="360" w:lineRule="auto"/>
        <w:jc w:val="center"/>
        <w:rPr>
          <w:color w:val="auto"/>
          <w:sz w:val="23"/>
          <w:szCs w:val="23"/>
        </w:rPr>
      </w:pPr>
      <w:r w:rsidRPr="00456A04">
        <w:rPr>
          <w:color w:val="auto"/>
          <w:sz w:val="23"/>
          <w:szCs w:val="23"/>
        </w:rPr>
        <w:t>Čl. 5</w:t>
      </w:r>
    </w:p>
    <w:p w:rsidR="009F47B6" w:rsidRPr="00456A04" w:rsidRDefault="009F47B6" w:rsidP="00F262C9">
      <w:pPr>
        <w:pStyle w:val="Default"/>
        <w:spacing w:before="240" w:after="240" w:line="360" w:lineRule="auto"/>
        <w:jc w:val="center"/>
        <w:rPr>
          <w:color w:val="auto"/>
          <w:sz w:val="28"/>
          <w:szCs w:val="28"/>
        </w:rPr>
      </w:pPr>
      <w:r w:rsidRPr="00456A04">
        <w:rPr>
          <w:b/>
          <w:bCs/>
          <w:color w:val="auto"/>
          <w:sz w:val="28"/>
          <w:szCs w:val="28"/>
        </w:rPr>
        <w:t>Hospodaření s fondem</w:t>
      </w:r>
    </w:p>
    <w:p w:rsidR="009F47B6" w:rsidRPr="00456A04" w:rsidRDefault="009F47B6" w:rsidP="00F262C9">
      <w:pPr>
        <w:pStyle w:val="Default"/>
        <w:numPr>
          <w:ilvl w:val="0"/>
          <w:numId w:val="13"/>
        </w:numPr>
        <w:spacing w:line="360" w:lineRule="auto"/>
        <w:rPr>
          <w:color w:val="auto"/>
          <w:sz w:val="23"/>
          <w:szCs w:val="23"/>
        </w:rPr>
      </w:pPr>
      <w:r w:rsidRPr="00456A04">
        <w:rPr>
          <w:color w:val="auto"/>
          <w:sz w:val="23"/>
          <w:szCs w:val="23"/>
        </w:rPr>
        <w:t xml:space="preserve">Převody přídělu z rozpočtu obce se provádějí zálohově ve čtvrtletních splátkách.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3"/>
        </w:numPr>
        <w:spacing w:line="360" w:lineRule="auto"/>
        <w:rPr>
          <w:color w:val="auto"/>
          <w:sz w:val="23"/>
          <w:szCs w:val="23"/>
        </w:rPr>
      </w:pPr>
      <w:r w:rsidRPr="00456A04">
        <w:rPr>
          <w:color w:val="auto"/>
          <w:sz w:val="23"/>
          <w:szCs w:val="23"/>
        </w:rPr>
        <w:t xml:space="preserve">Evidenci o čerpání Sociálního fondu vede </w:t>
      </w:r>
      <w:r w:rsidR="00B35A5E">
        <w:rPr>
          <w:color w:val="auto"/>
          <w:sz w:val="23"/>
          <w:szCs w:val="23"/>
        </w:rPr>
        <w:t>účetní, která</w:t>
      </w:r>
      <w:r w:rsidRPr="00456A04">
        <w:rPr>
          <w:color w:val="auto"/>
          <w:sz w:val="23"/>
          <w:szCs w:val="23"/>
        </w:rPr>
        <w:t xml:space="preserve"> povede evidenci čerpání všech položek Sociálního fondu.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numPr>
          <w:ilvl w:val="0"/>
          <w:numId w:val="13"/>
        </w:numPr>
        <w:spacing w:line="360" w:lineRule="auto"/>
        <w:rPr>
          <w:color w:val="auto"/>
          <w:sz w:val="23"/>
          <w:szCs w:val="23"/>
        </w:rPr>
      </w:pPr>
      <w:r w:rsidRPr="00456A04">
        <w:rPr>
          <w:color w:val="auto"/>
          <w:sz w:val="23"/>
          <w:szCs w:val="23"/>
        </w:rPr>
        <w:t xml:space="preserve">Zůstatek nevyčerpaných prostředků Sociálního fondu koncem roku nepropadá a převádí se do příštího roku. </w:t>
      </w:r>
    </w:p>
    <w:p w:rsidR="009F47B6" w:rsidRPr="00456A04" w:rsidRDefault="009F47B6" w:rsidP="00F262C9">
      <w:pPr>
        <w:pStyle w:val="Default"/>
        <w:spacing w:line="360" w:lineRule="auto"/>
        <w:rPr>
          <w:color w:val="auto"/>
          <w:sz w:val="23"/>
          <w:szCs w:val="23"/>
        </w:rPr>
      </w:pPr>
    </w:p>
    <w:p w:rsidR="009F47B6" w:rsidRPr="00456A04" w:rsidRDefault="009F47B6" w:rsidP="00F262C9">
      <w:pPr>
        <w:pStyle w:val="Default"/>
        <w:spacing w:before="240" w:after="240" w:line="360" w:lineRule="auto"/>
        <w:jc w:val="center"/>
        <w:rPr>
          <w:color w:val="auto"/>
          <w:sz w:val="23"/>
          <w:szCs w:val="23"/>
        </w:rPr>
      </w:pPr>
      <w:r w:rsidRPr="00456A04">
        <w:rPr>
          <w:color w:val="auto"/>
          <w:sz w:val="23"/>
          <w:szCs w:val="23"/>
        </w:rPr>
        <w:t>Čl. 6</w:t>
      </w:r>
    </w:p>
    <w:p w:rsidR="00F262C9" w:rsidRDefault="009F47B6" w:rsidP="00F262C9">
      <w:pPr>
        <w:pStyle w:val="Default"/>
        <w:spacing w:before="240" w:after="240" w:line="360" w:lineRule="auto"/>
        <w:jc w:val="center"/>
        <w:rPr>
          <w:b/>
          <w:bCs/>
          <w:color w:val="auto"/>
          <w:sz w:val="28"/>
          <w:szCs w:val="28"/>
        </w:rPr>
      </w:pPr>
      <w:r w:rsidRPr="00456A04">
        <w:rPr>
          <w:b/>
          <w:bCs/>
          <w:color w:val="auto"/>
          <w:sz w:val="28"/>
          <w:szCs w:val="28"/>
        </w:rPr>
        <w:t>Závěrečná ustanovení</w:t>
      </w:r>
    </w:p>
    <w:p w:rsidR="004E2E31" w:rsidRDefault="009F47B6" w:rsidP="004E2E31">
      <w:pPr>
        <w:pStyle w:val="Default"/>
        <w:numPr>
          <w:ilvl w:val="0"/>
          <w:numId w:val="15"/>
        </w:numPr>
        <w:spacing w:before="240" w:after="240" w:line="360" w:lineRule="auto"/>
        <w:rPr>
          <w:color w:val="auto"/>
          <w:sz w:val="23"/>
          <w:szCs w:val="23"/>
        </w:rPr>
      </w:pPr>
      <w:r w:rsidRPr="00F262C9">
        <w:rPr>
          <w:color w:val="auto"/>
          <w:sz w:val="23"/>
          <w:szCs w:val="23"/>
        </w:rPr>
        <w:t xml:space="preserve">Na plnění z tohoto fondu není právní nárok. </w:t>
      </w:r>
    </w:p>
    <w:p w:rsidR="009F47B6" w:rsidRPr="00F262C9" w:rsidRDefault="009F47B6" w:rsidP="004E2E31">
      <w:pPr>
        <w:pStyle w:val="Default"/>
        <w:numPr>
          <w:ilvl w:val="0"/>
          <w:numId w:val="15"/>
        </w:numPr>
        <w:spacing w:before="240" w:after="240" w:line="360" w:lineRule="auto"/>
        <w:rPr>
          <w:color w:val="auto"/>
        </w:rPr>
      </w:pPr>
      <w:r w:rsidRPr="00F262C9">
        <w:rPr>
          <w:color w:val="auto"/>
          <w:sz w:val="23"/>
          <w:szCs w:val="23"/>
        </w:rPr>
        <w:t xml:space="preserve">Odměnu u příležitosti životního jubilea a odměnu při prvním skončení pracovního poměru po vzniku nároku na starobní důchod nebo při přiznání plného invalidního důchodu navrhuje </w:t>
      </w:r>
      <w:r w:rsidR="00B35A5E">
        <w:rPr>
          <w:color w:val="auto"/>
          <w:sz w:val="23"/>
          <w:szCs w:val="23"/>
        </w:rPr>
        <w:t xml:space="preserve">a schvaluje </w:t>
      </w:r>
      <w:r w:rsidRPr="00F262C9">
        <w:rPr>
          <w:color w:val="auto"/>
          <w:sz w:val="23"/>
          <w:szCs w:val="23"/>
        </w:rPr>
        <w:t xml:space="preserve">starosta obce. </w:t>
      </w:r>
    </w:p>
    <w:p w:rsidR="009F47B6" w:rsidRPr="00456A04" w:rsidRDefault="009F47B6" w:rsidP="004E2E31">
      <w:pPr>
        <w:pStyle w:val="Default"/>
        <w:numPr>
          <w:ilvl w:val="0"/>
          <w:numId w:val="15"/>
        </w:numPr>
        <w:spacing w:line="360" w:lineRule="auto"/>
        <w:rPr>
          <w:color w:val="auto"/>
          <w:sz w:val="23"/>
          <w:szCs w:val="23"/>
        </w:rPr>
      </w:pPr>
      <w:r w:rsidRPr="00456A04">
        <w:rPr>
          <w:color w:val="auto"/>
          <w:sz w:val="23"/>
          <w:szCs w:val="23"/>
        </w:rPr>
        <w:t xml:space="preserve">Zrušují se „Zásady pro tvorbu a používání Sociálního fondu obce </w:t>
      </w:r>
      <w:r w:rsidR="00456A04" w:rsidRPr="00456A04">
        <w:rPr>
          <w:color w:val="auto"/>
          <w:sz w:val="23"/>
          <w:szCs w:val="23"/>
        </w:rPr>
        <w:t>Lety</w:t>
      </w:r>
      <w:r w:rsidRPr="00456A04">
        <w:rPr>
          <w:color w:val="auto"/>
          <w:sz w:val="23"/>
          <w:szCs w:val="23"/>
        </w:rPr>
        <w:t xml:space="preserve">“ ze dne </w:t>
      </w:r>
      <w:r w:rsidR="00F11642">
        <w:rPr>
          <w:color w:val="auto"/>
          <w:sz w:val="23"/>
          <w:szCs w:val="23"/>
        </w:rPr>
        <w:t>15.6.2006</w:t>
      </w:r>
    </w:p>
    <w:p w:rsidR="009F47B6" w:rsidRPr="00456A04" w:rsidRDefault="009F47B6" w:rsidP="004E2E31">
      <w:pPr>
        <w:pStyle w:val="Default"/>
        <w:spacing w:line="360" w:lineRule="auto"/>
        <w:rPr>
          <w:color w:val="auto"/>
          <w:sz w:val="23"/>
          <w:szCs w:val="23"/>
        </w:rPr>
      </w:pPr>
    </w:p>
    <w:p w:rsidR="009F47B6" w:rsidRDefault="009F47B6" w:rsidP="004E2E31">
      <w:pPr>
        <w:pStyle w:val="Default"/>
        <w:numPr>
          <w:ilvl w:val="0"/>
          <w:numId w:val="13"/>
        </w:numPr>
        <w:spacing w:line="360" w:lineRule="auto"/>
        <w:rPr>
          <w:color w:val="auto"/>
          <w:sz w:val="23"/>
          <w:szCs w:val="23"/>
        </w:rPr>
      </w:pPr>
      <w:r w:rsidRPr="00456A04">
        <w:rPr>
          <w:color w:val="auto"/>
          <w:sz w:val="23"/>
          <w:szCs w:val="23"/>
        </w:rPr>
        <w:t>Tyto „Zása</w:t>
      </w:r>
      <w:r w:rsidR="00B35A5E">
        <w:rPr>
          <w:color w:val="auto"/>
          <w:sz w:val="23"/>
          <w:szCs w:val="23"/>
        </w:rPr>
        <w:t>dy“ nabývají účinnosti dnem 1. 9</w:t>
      </w:r>
      <w:r w:rsidRPr="00456A04">
        <w:rPr>
          <w:color w:val="auto"/>
          <w:sz w:val="23"/>
          <w:szCs w:val="23"/>
        </w:rPr>
        <w:t>. 201</w:t>
      </w:r>
      <w:r w:rsidR="00456A04">
        <w:rPr>
          <w:color w:val="auto"/>
          <w:sz w:val="23"/>
          <w:szCs w:val="23"/>
        </w:rPr>
        <w:t>5</w:t>
      </w:r>
      <w:r w:rsidRPr="00456A04">
        <w:rPr>
          <w:color w:val="auto"/>
          <w:sz w:val="23"/>
          <w:szCs w:val="23"/>
        </w:rPr>
        <w:t xml:space="preserve">. </w:t>
      </w:r>
    </w:p>
    <w:p w:rsidR="00456A04" w:rsidRPr="00456A04" w:rsidRDefault="00456A04" w:rsidP="004E2E31">
      <w:pPr>
        <w:pStyle w:val="Default"/>
        <w:spacing w:line="360" w:lineRule="auto"/>
        <w:rPr>
          <w:color w:val="auto"/>
          <w:sz w:val="23"/>
          <w:szCs w:val="23"/>
        </w:rPr>
      </w:pPr>
    </w:p>
    <w:p w:rsidR="009F47B6" w:rsidRPr="00456A04" w:rsidRDefault="009F47B6" w:rsidP="004E2E31">
      <w:pPr>
        <w:pStyle w:val="Default"/>
        <w:spacing w:line="360" w:lineRule="auto"/>
        <w:rPr>
          <w:color w:val="auto"/>
          <w:sz w:val="23"/>
          <w:szCs w:val="23"/>
        </w:rPr>
      </w:pPr>
      <w:r w:rsidRPr="00456A04">
        <w:rPr>
          <w:color w:val="auto"/>
          <w:sz w:val="23"/>
          <w:szCs w:val="23"/>
        </w:rPr>
        <w:t xml:space="preserve">Schváleno usnesením zastupitelstva obce </w:t>
      </w:r>
      <w:r w:rsidR="00456A04" w:rsidRPr="00456A04">
        <w:rPr>
          <w:color w:val="auto"/>
          <w:sz w:val="23"/>
          <w:szCs w:val="23"/>
        </w:rPr>
        <w:t>Lety</w:t>
      </w:r>
      <w:r w:rsidR="00DA26CE">
        <w:rPr>
          <w:color w:val="auto"/>
          <w:sz w:val="23"/>
          <w:szCs w:val="23"/>
        </w:rPr>
        <w:t xml:space="preserve"> č. 12/5/2015</w:t>
      </w:r>
      <w:r w:rsidR="00456A04">
        <w:rPr>
          <w:color w:val="auto"/>
          <w:sz w:val="23"/>
          <w:szCs w:val="23"/>
        </w:rPr>
        <w:t xml:space="preserve"> </w:t>
      </w:r>
      <w:r w:rsidRPr="00456A04">
        <w:rPr>
          <w:color w:val="auto"/>
          <w:sz w:val="23"/>
          <w:szCs w:val="23"/>
        </w:rPr>
        <w:t xml:space="preserve">ze dne </w:t>
      </w:r>
      <w:r w:rsidR="00B35A5E">
        <w:rPr>
          <w:color w:val="auto"/>
          <w:sz w:val="23"/>
          <w:szCs w:val="23"/>
        </w:rPr>
        <w:t>19.8. 2015</w:t>
      </w:r>
      <w:r w:rsidR="00DA26CE">
        <w:rPr>
          <w:color w:val="auto"/>
          <w:sz w:val="23"/>
          <w:szCs w:val="23"/>
        </w:rPr>
        <w:t>.</w:t>
      </w:r>
      <w:bookmarkStart w:id="0" w:name="_GoBack"/>
      <w:bookmarkEnd w:id="0"/>
    </w:p>
    <w:sectPr w:rsidR="009F47B6" w:rsidRPr="00456A04" w:rsidSect="00F547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469C"/>
    <w:multiLevelType w:val="hybridMultilevel"/>
    <w:tmpl w:val="47B8E6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FE4472"/>
    <w:multiLevelType w:val="hybridMultilevel"/>
    <w:tmpl w:val="258262C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E00676A"/>
    <w:multiLevelType w:val="hybridMultilevel"/>
    <w:tmpl w:val="F4B42E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8E6DCC"/>
    <w:multiLevelType w:val="hybridMultilevel"/>
    <w:tmpl w:val="FFE0E9D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718420C"/>
    <w:multiLevelType w:val="hybridMultilevel"/>
    <w:tmpl w:val="74FA23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D1A4E74"/>
    <w:multiLevelType w:val="hybridMultilevel"/>
    <w:tmpl w:val="E7BEE6E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1EF2EFD"/>
    <w:multiLevelType w:val="hybridMultilevel"/>
    <w:tmpl w:val="C238998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DB13EE8"/>
    <w:multiLevelType w:val="hybridMultilevel"/>
    <w:tmpl w:val="BF28049E"/>
    <w:lvl w:ilvl="0" w:tplc="1D6293B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5F4C1D"/>
    <w:multiLevelType w:val="hybridMultilevel"/>
    <w:tmpl w:val="85A820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F808E4"/>
    <w:multiLevelType w:val="hybridMultilevel"/>
    <w:tmpl w:val="6DF4B1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C4755D"/>
    <w:multiLevelType w:val="hybridMultilevel"/>
    <w:tmpl w:val="6A7C95D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60462B78"/>
    <w:multiLevelType w:val="hybridMultilevel"/>
    <w:tmpl w:val="610459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22537E"/>
    <w:multiLevelType w:val="hybridMultilevel"/>
    <w:tmpl w:val="8AC2A2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BD523E"/>
    <w:multiLevelType w:val="hybridMultilevel"/>
    <w:tmpl w:val="8B88865C"/>
    <w:lvl w:ilvl="0" w:tplc="3B7EAB2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78A76CBC"/>
    <w:multiLevelType w:val="hybridMultilevel"/>
    <w:tmpl w:val="C0D2CFB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BAC258A6">
      <w:start w:val="1"/>
      <w:numFmt w:val="decimal"/>
      <w:lvlText w:val="%3)"/>
      <w:lvlJc w:val="left"/>
      <w:pPr>
        <w:ind w:left="2688" w:hanging="360"/>
      </w:pPr>
      <w:rPr>
        <w:rFonts w:hint="default"/>
        <w:b/>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2"/>
  </w:num>
  <w:num w:numId="2">
    <w:abstractNumId w:val="3"/>
  </w:num>
  <w:num w:numId="3">
    <w:abstractNumId w:val="2"/>
  </w:num>
  <w:num w:numId="4">
    <w:abstractNumId w:val="11"/>
  </w:num>
  <w:num w:numId="5">
    <w:abstractNumId w:val="14"/>
  </w:num>
  <w:num w:numId="6">
    <w:abstractNumId w:val="7"/>
  </w:num>
  <w:num w:numId="7">
    <w:abstractNumId w:val="1"/>
  </w:num>
  <w:num w:numId="8">
    <w:abstractNumId w:val="10"/>
  </w:num>
  <w:num w:numId="9">
    <w:abstractNumId w:val="6"/>
  </w:num>
  <w:num w:numId="10">
    <w:abstractNumId w:val="5"/>
  </w:num>
  <w:num w:numId="11">
    <w:abstractNumId w:val="4"/>
  </w:num>
  <w:num w:numId="12">
    <w:abstractNumId w:val="13"/>
  </w:num>
  <w:num w:numId="13">
    <w:abstractNumId w:val="0"/>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7B6"/>
    <w:rsid w:val="00022EA1"/>
    <w:rsid w:val="000B1F02"/>
    <w:rsid w:val="001D3BF4"/>
    <w:rsid w:val="0030228E"/>
    <w:rsid w:val="00322D85"/>
    <w:rsid w:val="003565F1"/>
    <w:rsid w:val="003772C2"/>
    <w:rsid w:val="00456A04"/>
    <w:rsid w:val="004E2E31"/>
    <w:rsid w:val="0079203B"/>
    <w:rsid w:val="008602BB"/>
    <w:rsid w:val="008F423D"/>
    <w:rsid w:val="009F47B6"/>
    <w:rsid w:val="00B35A5E"/>
    <w:rsid w:val="00D42E21"/>
    <w:rsid w:val="00DA26CE"/>
    <w:rsid w:val="00E87A9D"/>
    <w:rsid w:val="00F11642"/>
    <w:rsid w:val="00F262C9"/>
    <w:rsid w:val="00F53A59"/>
    <w:rsid w:val="00F54792"/>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7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F47B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7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E487-67FB-42AD-BD39-E523622E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6210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Alena</cp:lastModifiedBy>
  <cp:revision>2</cp:revision>
  <cp:lastPrinted>2014-12-09T09:38:00Z</cp:lastPrinted>
  <dcterms:created xsi:type="dcterms:W3CDTF">2015-09-01T09:05:00Z</dcterms:created>
  <dcterms:modified xsi:type="dcterms:W3CDTF">2015-09-01T09:05:00Z</dcterms:modified>
</cp:coreProperties>
</file>